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0" w:rsidRDefault="00495E40" w:rsidP="00495E40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495E40" w:rsidRDefault="00495E40" w:rsidP="00495E40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 директора</w:t>
      </w:r>
    </w:p>
    <w:p w:rsidR="00495E40" w:rsidRDefault="00495E40" w:rsidP="00495E40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МБУДО «БДМШ №5»</w:t>
      </w:r>
    </w:p>
    <w:p w:rsidR="00495E40" w:rsidRPr="00495E40" w:rsidRDefault="00495E40" w:rsidP="00495E40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29.04.2016 №42</w:t>
      </w:r>
    </w:p>
    <w:p w:rsidR="00495E40" w:rsidRDefault="00495E40" w:rsidP="00495E40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:rsidR="00495E40" w:rsidRPr="00495E40" w:rsidRDefault="00495E40" w:rsidP="00495E40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ПОЛОЖЕНИЕ</w:t>
      </w:r>
    </w:p>
    <w:p w:rsidR="00495E40" w:rsidRDefault="00495E40" w:rsidP="00495E40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  <w:r w:rsidRPr="00495E40">
        <w:rPr>
          <w:color w:val="000000"/>
          <w:sz w:val="24"/>
          <w:szCs w:val="24"/>
        </w:rPr>
        <w:t xml:space="preserve">об антикоррупционной политике муниципального бюджетного </w:t>
      </w:r>
      <w:r>
        <w:rPr>
          <w:color w:val="000000"/>
          <w:sz w:val="24"/>
          <w:szCs w:val="24"/>
        </w:rPr>
        <w:t>у</w:t>
      </w:r>
      <w:r w:rsidRPr="00495E40">
        <w:rPr>
          <w:color w:val="000000"/>
          <w:sz w:val="24"/>
          <w:szCs w:val="24"/>
        </w:rPr>
        <w:t>чреждения дополнительного образования «Барнаульская детская музыкальная школа №5»</w:t>
      </w:r>
    </w:p>
    <w:p w:rsidR="00495E40" w:rsidRPr="00495E40" w:rsidRDefault="00495E40" w:rsidP="00495E4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5E40" w:rsidRPr="00495E40" w:rsidRDefault="00495E40" w:rsidP="00495E40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center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Цели и задачи внедрения антикоррупционной политики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Антикоррупционная политика в муниципальном бюджетном учреждении дополнительного образования «Барнаульская детская музыкальная школа №5»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г. № 273 - ФЗ «О противодействии коррупции» (далее - Федеральный закон № 273 - ФЗ). В соответствии со ст. 13.3 Федерального закона № 273 - ФЗ меры по предупреждению коррупции, принимаемые в организации, могут включать: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должностных лиц, ответственных за профилактику коррупционных и иных правонарушений;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сотрудничество с правоохранительными органами;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Учреждения;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принятие кодекса этики и служебного поведения работников Учреждения;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563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предотвращение и урегулирование конфликта интересов;</w:t>
      </w:r>
    </w:p>
    <w:p w:rsidR="00495E40" w:rsidRPr="00495E40" w:rsidRDefault="00495E40" w:rsidP="00495E40">
      <w:pPr>
        <w:pStyle w:val="1"/>
        <w:numPr>
          <w:ilvl w:val="0"/>
          <w:numId w:val="2"/>
        </w:numPr>
        <w:shd w:val="clear" w:color="auto" w:fill="auto"/>
        <w:tabs>
          <w:tab w:val="left" w:pos="735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Антикоррупционная политика Предприятия направлена на реализацию данных мер.</w:t>
      </w:r>
    </w:p>
    <w:p w:rsidR="00495E40" w:rsidRPr="00495E40" w:rsidRDefault="00495E40" w:rsidP="00495E40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line="240" w:lineRule="auto"/>
        <w:ind w:left="2420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Используемые в политике понятия и определения.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495E40">
        <w:rPr>
          <w:rStyle w:val="0pt"/>
          <w:sz w:val="24"/>
          <w:szCs w:val="24"/>
        </w:rPr>
        <w:t>Коррупция</w:t>
      </w:r>
      <w:r w:rsidRPr="00495E40">
        <w:rPr>
          <w:color w:val="000000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95E40">
        <w:rPr>
          <w:color w:val="000000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273-Ф3 «О противодействии коррупции»).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rStyle w:val="0pt"/>
          <w:sz w:val="24"/>
          <w:szCs w:val="24"/>
        </w:rPr>
        <w:t>Противодействие коррупции</w:t>
      </w:r>
      <w:r w:rsidRPr="00495E40">
        <w:rPr>
          <w:color w:val="000000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273-ФЭ «О противодействии коррупции»):</w:t>
      </w:r>
    </w:p>
    <w:p w:rsidR="00495E40" w:rsidRPr="00495E40" w:rsidRDefault="00495E40" w:rsidP="00495E40">
      <w:pPr>
        <w:pStyle w:val="1"/>
        <w:shd w:val="clear" w:color="auto" w:fill="auto"/>
        <w:tabs>
          <w:tab w:val="left" w:pos="56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а)</w:t>
      </w:r>
      <w:r w:rsidRPr="00495E40">
        <w:rPr>
          <w:color w:val="000000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95E40" w:rsidRPr="00495E40" w:rsidRDefault="00495E40" w:rsidP="00495E40">
      <w:pPr>
        <w:pStyle w:val="1"/>
        <w:shd w:val="clear" w:color="auto" w:fill="auto"/>
        <w:tabs>
          <w:tab w:val="left" w:pos="56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б)</w:t>
      </w:r>
      <w:r w:rsidRPr="00495E40">
        <w:rPr>
          <w:color w:val="000000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95E40" w:rsidRPr="00495E40" w:rsidRDefault="00495E40" w:rsidP="00495E40">
      <w:pPr>
        <w:pStyle w:val="1"/>
        <w:shd w:val="clear" w:color="auto" w:fill="auto"/>
        <w:tabs>
          <w:tab w:val="left" w:pos="56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в)</w:t>
      </w:r>
      <w:r w:rsidRPr="00495E40">
        <w:rPr>
          <w:color w:val="000000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rStyle w:val="0pt"/>
          <w:sz w:val="24"/>
          <w:szCs w:val="24"/>
        </w:rPr>
        <w:t>Организация</w:t>
      </w:r>
      <w:r w:rsidRPr="00495E40">
        <w:rPr>
          <w:color w:val="000000"/>
          <w:sz w:val="24"/>
          <w:szCs w:val="24"/>
        </w:rPr>
        <w:t xml:space="preserve"> - юридическое лицо независимо от формы собственности, организационно-правовой</w:t>
      </w:r>
      <w:r>
        <w:rPr>
          <w:color w:val="000000"/>
          <w:sz w:val="24"/>
          <w:szCs w:val="24"/>
        </w:rPr>
        <w:t xml:space="preserve"> </w:t>
      </w:r>
      <w:r w:rsidRPr="00495E40">
        <w:rPr>
          <w:color w:val="000000"/>
          <w:sz w:val="24"/>
          <w:szCs w:val="24"/>
        </w:rPr>
        <w:t>формы и отраслевой принадлежности.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rStyle w:val="0pt"/>
          <w:sz w:val="24"/>
          <w:szCs w:val="24"/>
        </w:rPr>
        <w:t>Контрагент -</w:t>
      </w:r>
      <w:r w:rsidRPr="00495E40">
        <w:rPr>
          <w:color w:val="000000"/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495E40">
        <w:rPr>
          <w:rStyle w:val="0pt"/>
          <w:sz w:val="24"/>
          <w:szCs w:val="24"/>
        </w:rPr>
        <w:t>Взятка</w:t>
      </w:r>
      <w:r w:rsidRPr="00495E40">
        <w:rPr>
          <w:color w:val="000000"/>
          <w:sz w:val="24"/>
          <w:szCs w:val="24"/>
        </w:rPr>
        <w:t xml:space="preserve"> - получение должностным лицом, иностранным должностным лицом либо </w:t>
      </w:r>
      <w:r w:rsidRPr="00495E40">
        <w:rPr>
          <w:color w:val="000000"/>
          <w:sz w:val="24"/>
          <w:szCs w:val="24"/>
        </w:rPr>
        <w:lastRenderedPageBreak/>
        <w:t>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</w:t>
      </w:r>
      <w:r>
        <w:rPr>
          <w:color w:val="000000"/>
          <w:sz w:val="24"/>
          <w:szCs w:val="24"/>
        </w:rPr>
        <w:t xml:space="preserve"> </w:t>
      </w:r>
      <w:r w:rsidRPr="00495E40">
        <w:rPr>
          <w:color w:val="000000"/>
          <w:sz w:val="24"/>
          <w:szCs w:val="24"/>
        </w:rPr>
        <w:t>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95E40">
        <w:rPr>
          <w:color w:val="000000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495E40">
        <w:rPr>
          <w:rStyle w:val="0pt"/>
          <w:sz w:val="24"/>
          <w:szCs w:val="24"/>
        </w:rPr>
        <w:t>Коммерческий подкуп</w:t>
      </w:r>
      <w:r w:rsidRPr="00495E40">
        <w:rPr>
          <w:color w:val="000000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495E40">
        <w:rPr>
          <w:rStyle w:val="0pt"/>
          <w:sz w:val="24"/>
          <w:szCs w:val="24"/>
        </w:rPr>
        <w:t>Конфликт интересов -</w:t>
      </w:r>
      <w:r w:rsidRPr="00495E40">
        <w:rPr>
          <w:color w:val="000000"/>
          <w:sz w:val="24"/>
          <w:szCs w:val="24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95E40">
        <w:rPr>
          <w:color w:val="000000"/>
          <w:sz w:val="24"/>
          <w:szCs w:val="24"/>
        </w:rPr>
        <w:t xml:space="preserve"> (представителем организации) которой он является.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rStyle w:val="0pt"/>
          <w:sz w:val="24"/>
          <w:szCs w:val="24"/>
        </w:rPr>
        <w:t>Личная заинтересованность работника (представителя организации) -</w:t>
      </w:r>
      <w:r w:rsidRPr="00495E40">
        <w:rPr>
          <w:color w:val="000000"/>
          <w:sz w:val="24"/>
          <w:szCs w:val="24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95E40" w:rsidRPr="00495E40" w:rsidRDefault="00495E40" w:rsidP="00495E40">
      <w:pPr>
        <w:pStyle w:val="11"/>
        <w:shd w:val="clear" w:color="auto" w:fill="auto"/>
        <w:spacing w:before="0" w:line="240" w:lineRule="auto"/>
        <w:ind w:firstLine="709"/>
        <w:jc w:val="center"/>
        <w:outlineLvl w:val="9"/>
        <w:rPr>
          <w:sz w:val="24"/>
          <w:szCs w:val="24"/>
        </w:rPr>
      </w:pPr>
      <w:bookmarkStart w:id="0" w:name="bookmark0"/>
      <w:r w:rsidRPr="00495E40">
        <w:rPr>
          <w:color w:val="000000"/>
          <w:sz w:val="24"/>
          <w:szCs w:val="24"/>
        </w:rPr>
        <w:t>3. Основные принципы антикоррупционной деятельности</w:t>
      </w:r>
      <w:bookmarkEnd w:id="0"/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соответствия политики организации действующему законодательству и общепринятым нормам.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</w:t>
      </w:r>
      <w:proofErr w:type="gramStart"/>
      <w:r w:rsidRPr="00495E40">
        <w:rPr>
          <w:color w:val="000000"/>
          <w:sz w:val="24"/>
          <w:szCs w:val="24"/>
        </w:rPr>
        <w:t>к</w:t>
      </w:r>
      <w:proofErr w:type="gramEnd"/>
      <w:r w:rsidRPr="00495E40">
        <w:rPr>
          <w:color w:val="000000"/>
          <w:sz w:val="24"/>
          <w:szCs w:val="24"/>
        </w:rPr>
        <w:t xml:space="preserve"> Предприятия.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личного примера руководства.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вовлеченности работников.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соразмерности антикоррупционных процедур риску коррупции.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Разработка и выполнение комплекса мероприятий, позволяющих снизить вероятность вовлечения Предприятия, ее администрации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эффективности антикоррупционных процедур.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95E40">
        <w:rPr>
          <w:color w:val="000000"/>
          <w:sz w:val="24"/>
          <w:szCs w:val="24"/>
        </w:rPr>
        <w:t>приносят значимый результат</w:t>
      </w:r>
      <w:proofErr w:type="gramEnd"/>
      <w:r w:rsidRPr="00495E40">
        <w:rPr>
          <w:color w:val="000000"/>
          <w:sz w:val="24"/>
          <w:szCs w:val="24"/>
        </w:rPr>
        <w:t>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ответственности и неотвратимости наказания.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открытости.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lastRenderedPageBreak/>
        <w:t>Информирование контрагентов, партнеров и общественности о принятых в Предприятие антикоррупционных стандартах ведения деятельности.</w:t>
      </w:r>
    </w:p>
    <w:p w:rsidR="00495E40" w:rsidRPr="00495E40" w:rsidRDefault="00495E40" w:rsidP="00495E40">
      <w:pPr>
        <w:pStyle w:val="3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Принцип постоянного контроля и регулярного мониторинга.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95E40">
        <w:rPr>
          <w:color w:val="000000"/>
          <w:sz w:val="24"/>
          <w:szCs w:val="24"/>
        </w:rPr>
        <w:t>контроля за</w:t>
      </w:r>
      <w:proofErr w:type="gramEnd"/>
      <w:r w:rsidRPr="00495E40">
        <w:rPr>
          <w:color w:val="000000"/>
          <w:sz w:val="24"/>
          <w:szCs w:val="24"/>
        </w:rPr>
        <w:t xml:space="preserve"> их исполнением.</w:t>
      </w:r>
    </w:p>
    <w:p w:rsidR="00495E40" w:rsidRPr="00495E40" w:rsidRDefault="00495E40" w:rsidP="00495E40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line="240" w:lineRule="auto"/>
        <w:ind w:firstLine="709"/>
        <w:jc w:val="center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Область применения политики и круг лиц, попадающих под ее действие.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 - правовых договоров. В этом случае соответствующие положения нужно включить в текст договоров.</w:t>
      </w:r>
    </w:p>
    <w:p w:rsidR="00495E40" w:rsidRPr="00495E40" w:rsidRDefault="00495E40" w:rsidP="00495E40">
      <w:pPr>
        <w:pStyle w:val="20"/>
        <w:numPr>
          <w:ilvl w:val="0"/>
          <w:numId w:val="4"/>
        </w:numPr>
        <w:shd w:val="clear" w:color="auto" w:fill="auto"/>
        <w:tabs>
          <w:tab w:val="left" w:pos="1153"/>
        </w:tabs>
        <w:spacing w:line="240" w:lineRule="auto"/>
        <w:ind w:firstLine="709"/>
        <w:jc w:val="center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Определение должностных лиц Предприятия, ответственных за реализацию</w:t>
      </w:r>
      <w:r w:rsidRPr="00495E40">
        <w:rPr>
          <w:color w:val="000000"/>
          <w:sz w:val="24"/>
          <w:szCs w:val="24"/>
        </w:rPr>
        <w:t xml:space="preserve"> </w:t>
      </w:r>
      <w:r w:rsidRPr="00495E40">
        <w:rPr>
          <w:color w:val="000000"/>
          <w:sz w:val="24"/>
          <w:szCs w:val="24"/>
        </w:rPr>
        <w:t>антикоррупционной политики.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руководитель. Задачи, функции и полномочия руководителя в сфере противодействия коррупции определены его Должностной инструкцией.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Эти обязанности включают в частности: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организацию проведения оценки коррупционных рисков;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организацию заполнения и рассмотрения деклараций о конфликте интересов;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организацию мероприятий по вопросам профилактики и противодействия коррупции и индивидуального консультирования работников;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оказание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- розыскные мероприятия;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495E40" w:rsidRPr="00495E40" w:rsidRDefault="00495E40" w:rsidP="00495E40">
      <w:pPr>
        <w:pStyle w:val="20"/>
        <w:numPr>
          <w:ilvl w:val="0"/>
          <w:numId w:val="4"/>
        </w:numPr>
        <w:shd w:val="clear" w:color="auto" w:fill="auto"/>
        <w:tabs>
          <w:tab w:val="left" w:pos="508"/>
        </w:tabs>
        <w:spacing w:line="240" w:lineRule="auto"/>
        <w:ind w:firstLine="709"/>
        <w:jc w:val="center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Определение и закрепление обязанностей работников, связанных с предупреждением и</w:t>
      </w:r>
      <w:r>
        <w:rPr>
          <w:color w:val="000000"/>
          <w:sz w:val="24"/>
          <w:szCs w:val="24"/>
        </w:rPr>
        <w:t xml:space="preserve"> </w:t>
      </w:r>
      <w:r w:rsidRPr="00495E40">
        <w:rPr>
          <w:color w:val="000000"/>
          <w:sz w:val="24"/>
          <w:szCs w:val="24"/>
        </w:rPr>
        <w:t>противодействием коррупции.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незамедлительно информировать директора Предприятия о случаях склонения работника к совершению коррупционных правонарушений;</w:t>
      </w:r>
    </w:p>
    <w:p w:rsidR="00495E40" w:rsidRPr="00495E40" w:rsidRDefault="00495E40" w:rsidP="00495E40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t>незамедлительно информировать директора, администрацию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495E40" w:rsidRPr="00495E40" w:rsidRDefault="00495E40" w:rsidP="00495E4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95E40">
        <w:rPr>
          <w:color w:val="000000"/>
          <w:sz w:val="24"/>
          <w:szCs w:val="24"/>
        </w:rPr>
        <w:lastRenderedPageBreak/>
        <w:t>В целях обеспечения эффективного исполнения возложенных на работников обязанностей регламентируются процедуры их соблюдения. Исходя их положений ст. 57 ТК РФ по соглашению сторон в трудовой договор, заключаемый с работником при приёме его на работу, могут</w:t>
      </w:r>
      <w:r>
        <w:rPr>
          <w:color w:val="000000"/>
          <w:sz w:val="24"/>
          <w:szCs w:val="24"/>
        </w:rPr>
        <w:t xml:space="preserve"> </w:t>
      </w:r>
      <w:r w:rsidRPr="00495E40">
        <w:rPr>
          <w:color w:val="000000"/>
          <w:sz w:val="24"/>
          <w:szCs w:val="24"/>
        </w:rPr>
        <w:t>включаться права и обязанности работника и директора, установленные данным локальным нормативным актом - «Антикоррупционная политика». При условии закрепления обязанностей работника в связи с предупреждением и противодействием коррупции в трудовом договоре директор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3174C" w:rsidRDefault="00495E40" w:rsidP="00495E40">
      <w:pPr>
        <w:pStyle w:val="a4"/>
        <w:numPr>
          <w:ilvl w:val="0"/>
          <w:numId w:val="4"/>
        </w:numPr>
        <w:ind w:left="0" w:firstLine="709"/>
        <w:jc w:val="center"/>
        <w:rPr>
          <w:b/>
          <w:color w:val="000000"/>
          <w:sz w:val="24"/>
          <w:szCs w:val="24"/>
        </w:rPr>
      </w:pPr>
      <w:r w:rsidRPr="00495E40">
        <w:rPr>
          <w:b/>
          <w:color w:val="000000"/>
          <w:sz w:val="24"/>
          <w:szCs w:val="24"/>
        </w:rPr>
        <w:t>Перечень реализуемых антикоррупционных мероприятий, стандартов и процедур и</w:t>
      </w:r>
      <w:r>
        <w:rPr>
          <w:b/>
          <w:color w:val="000000"/>
          <w:sz w:val="24"/>
          <w:szCs w:val="24"/>
        </w:rPr>
        <w:t xml:space="preserve"> порядок их выполнения (применения).</w:t>
      </w:r>
    </w:p>
    <w:p w:rsidR="00495E40" w:rsidRPr="00495E40" w:rsidRDefault="00495E40" w:rsidP="00495E40">
      <w:pPr>
        <w:pStyle w:val="a4"/>
        <w:numPr>
          <w:ilvl w:val="0"/>
          <w:numId w:val="4"/>
        </w:numPr>
        <w:ind w:left="0" w:firstLine="709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7891"/>
      </w:tblGrid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495E40">
              <w:rPr>
                <w:rStyle w:val="0pt0"/>
                <w:sz w:val="24"/>
                <w:szCs w:val="24"/>
              </w:rPr>
              <w:t>Направление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495E40">
              <w:rPr>
                <w:rStyle w:val="0pt0"/>
                <w:sz w:val="24"/>
                <w:szCs w:val="24"/>
              </w:rPr>
              <w:t>Мероприятие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Разработка и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специальных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антикоррупционных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495E40">
              <w:rPr>
                <w:color w:val="000000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Обучение и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информирование</w:t>
            </w:r>
          </w:p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5E40">
              <w:rPr>
                <w:color w:val="000000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95E40" w:rsidRPr="00495E40" w:rsidTr="00495E4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40" w:rsidRPr="00495E40" w:rsidRDefault="00495E40" w:rsidP="00495E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" w:name="_GoBack"/>
            <w:bookmarkEnd w:id="1"/>
            <w:r w:rsidRPr="00495E40">
              <w:rPr>
                <w:color w:val="000000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95E40" w:rsidRPr="00495E40" w:rsidRDefault="00495E40" w:rsidP="00495E40">
      <w:pPr>
        <w:pStyle w:val="a4"/>
        <w:ind w:left="0" w:firstLine="709"/>
        <w:jc w:val="both"/>
        <w:rPr>
          <w:sz w:val="24"/>
          <w:szCs w:val="24"/>
        </w:rPr>
      </w:pPr>
    </w:p>
    <w:sectPr w:rsidR="00495E40" w:rsidRPr="00495E40" w:rsidSect="00495E4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26"/>
    <w:multiLevelType w:val="multilevel"/>
    <w:tmpl w:val="76E4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A34DC"/>
    <w:multiLevelType w:val="multilevel"/>
    <w:tmpl w:val="4F9A5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34533"/>
    <w:multiLevelType w:val="multilevel"/>
    <w:tmpl w:val="121E7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E1EE2"/>
    <w:multiLevelType w:val="multilevel"/>
    <w:tmpl w:val="F948FA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770C57"/>
    <w:multiLevelType w:val="multilevel"/>
    <w:tmpl w:val="492A2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2"/>
    <w:rsid w:val="00495E40"/>
    <w:rsid w:val="00667F62"/>
    <w:rsid w:val="009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40"/>
    <w:rPr>
      <w:rFonts w:eastAsia="Times New Roman"/>
      <w:b/>
      <w:bCs/>
      <w:spacing w:val="6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95E40"/>
    <w:rPr>
      <w:rFonts w:eastAsia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95E4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5E40"/>
    <w:pPr>
      <w:widowControl w:val="0"/>
      <w:shd w:val="clear" w:color="auto" w:fill="FFFFFF"/>
      <w:spacing w:line="264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3"/>
    <w:rsid w:val="00495E40"/>
    <w:pPr>
      <w:widowControl w:val="0"/>
      <w:shd w:val="clear" w:color="auto" w:fill="FFFFFF"/>
      <w:spacing w:line="264" w:lineRule="exact"/>
      <w:jc w:val="both"/>
    </w:pPr>
    <w:rPr>
      <w:rFonts w:eastAsia="Times New Roman"/>
      <w:spacing w:val="7"/>
      <w:sz w:val="20"/>
      <w:szCs w:val="20"/>
    </w:rPr>
  </w:style>
  <w:style w:type="character" w:customStyle="1" w:styleId="10">
    <w:name w:val="Заголовок №1_"/>
    <w:basedOn w:val="a0"/>
    <w:link w:val="11"/>
    <w:rsid w:val="00495E40"/>
    <w:rPr>
      <w:rFonts w:eastAsia="Times New Roman"/>
      <w:b/>
      <w:bCs/>
      <w:spacing w:val="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E40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495E40"/>
    <w:pPr>
      <w:widowControl w:val="0"/>
      <w:shd w:val="clear" w:color="auto" w:fill="FFFFFF"/>
      <w:spacing w:before="240" w:line="264" w:lineRule="exact"/>
      <w:ind w:firstLine="280"/>
      <w:jc w:val="both"/>
      <w:outlineLvl w:val="0"/>
    </w:pPr>
    <w:rPr>
      <w:rFonts w:eastAsia="Times New Roman"/>
      <w:b/>
      <w:bCs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495E40"/>
    <w:pPr>
      <w:widowControl w:val="0"/>
      <w:shd w:val="clear" w:color="auto" w:fill="FFFFFF"/>
      <w:spacing w:line="264" w:lineRule="exact"/>
      <w:ind w:firstLine="280"/>
      <w:jc w:val="both"/>
    </w:pPr>
    <w:rPr>
      <w:rFonts w:eastAsia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95E40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3"/>
    <w:rsid w:val="00495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40"/>
    <w:rPr>
      <w:rFonts w:eastAsia="Times New Roman"/>
      <w:b/>
      <w:bCs/>
      <w:spacing w:val="6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95E40"/>
    <w:rPr>
      <w:rFonts w:eastAsia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95E4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5E40"/>
    <w:pPr>
      <w:widowControl w:val="0"/>
      <w:shd w:val="clear" w:color="auto" w:fill="FFFFFF"/>
      <w:spacing w:line="264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3"/>
    <w:rsid w:val="00495E40"/>
    <w:pPr>
      <w:widowControl w:val="0"/>
      <w:shd w:val="clear" w:color="auto" w:fill="FFFFFF"/>
      <w:spacing w:line="264" w:lineRule="exact"/>
      <w:jc w:val="both"/>
    </w:pPr>
    <w:rPr>
      <w:rFonts w:eastAsia="Times New Roman"/>
      <w:spacing w:val="7"/>
      <w:sz w:val="20"/>
      <w:szCs w:val="20"/>
    </w:rPr>
  </w:style>
  <w:style w:type="character" w:customStyle="1" w:styleId="10">
    <w:name w:val="Заголовок №1_"/>
    <w:basedOn w:val="a0"/>
    <w:link w:val="11"/>
    <w:rsid w:val="00495E40"/>
    <w:rPr>
      <w:rFonts w:eastAsia="Times New Roman"/>
      <w:b/>
      <w:bCs/>
      <w:spacing w:val="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E40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495E40"/>
    <w:pPr>
      <w:widowControl w:val="0"/>
      <w:shd w:val="clear" w:color="auto" w:fill="FFFFFF"/>
      <w:spacing w:before="240" w:line="264" w:lineRule="exact"/>
      <w:ind w:firstLine="280"/>
      <w:jc w:val="both"/>
      <w:outlineLvl w:val="0"/>
    </w:pPr>
    <w:rPr>
      <w:rFonts w:eastAsia="Times New Roman"/>
      <w:b/>
      <w:bCs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495E40"/>
    <w:pPr>
      <w:widowControl w:val="0"/>
      <w:shd w:val="clear" w:color="auto" w:fill="FFFFFF"/>
      <w:spacing w:line="264" w:lineRule="exact"/>
      <w:ind w:firstLine="280"/>
      <w:jc w:val="both"/>
    </w:pPr>
    <w:rPr>
      <w:rFonts w:eastAsia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95E40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3"/>
    <w:rsid w:val="00495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2</cp:revision>
  <dcterms:created xsi:type="dcterms:W3CDTF">2016-06-24T05:15:00Z</dcterms:created>
  <dcterms:modified xsi:type="dcterms:W3CDTF">2016-06-24T05:26:00Z</dcterms:modified>
</cp:coreProperties>
</file>